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34" w:rsidRDefault="006D11D2" w:rsidP="00B2367F">
      <w:pPr>
        <w:spacing w:after="0"/>
      </w:pPr>
      <w:r>
        <w:rPr>
          <w:b/>
          <w:color w:val="1F497D"/>
          <w:sz w:val="32"/>
          <w:szCs w:val="32"/>
        </w:rPr>
        <w:t>Regions P-card Transaction Download &amp; Conversion</w:t>
      </w:r>
    </w:p>
    <w:p w:rsidR="00B2367F" w:rsidRDefault="00EC53B3" w:rsidP="00B2367F">
      <w:pPr>
        <w:spacing w:after="0"/>
      </w:pPr>
      <w:r>
        <w:t>Provides the steps to download the monthly transaction report from Regions and then to convert the file into the correct format for uploading into Skyward/PaC.</w:t>
      </w:r>
    </w:p>
    <w:p w:rsidR="00B2367F" w:rsidRDefault="00B2367F">
      <w:pPr>
        <w:pStyle w:val="TOCHeading"/>
      </w:pPr>
      <w:r>
        <w:t>Table of Contents</w:t>
      </w:r>
    </w:p>
    <w:p w:rsidR="001952D7" w:rsidRDefault="006263E1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4871422" w:history="1">
        <w:r w:rsidR="001952D7" w:rsidRPr="001F31FE">
          <w:rPr>
            <w:rStyle w:val="Hyperlink"/>
            <w:rFonts w:eastAsia="Calibri"/>
            <w:noProof/>
          </w:rPr>
          <w:t>Log Into Regions Website</w:t>
        </w:r>
        <w:r w:rsidR="001952D7">
          <w:rPr>
            <w:noProof/>
            <w:webHidden/>
          </w:rPr>
          <w:tab/>
        </w:r>
        <w:r w:rsidR="001952D7">
          <w:rPr>
            <w:noProof/>
            <w:webHidden/>
          </w:rPr>
          <w:fldChar w:fldCharType="begin"/>
        </w:r>
        <w:r w:rsidR="001952D7">
          <w:rPr>
            <w:noProof/>
            <w:webHidden/>
          </w:rPr>
          <w:instrText xml:space="preserve"> PAGEREF _Toc444871422 \h </w:instrText>
        </w:r>
        <w:r w:rsidR="001952D7">
          <w:rPr>
            <w:noProof/>
            <w:webHidden/>
          </w:rPr>
        </w:r>
        <w:r w:rsidR="001952D7">
          <w:rPr>
            <w:noProof/>
            <w:webHidden/>
          </w:rPr>
          <w:fldChar w:fldCharType="separate"/>
        </w:r>
        <w:r w:rsidR="001952D7">
          <w:rPr>
            <w:noProof/>
            <w:webHidden/>
          </w:rPr>
          <w:t>2</w:t>
        </w:r>
        <w:r w:rsidR="001952D7">
          <w:rPr>
            <w:noProof/>
            <w:webHidden/>
          </w:rPr>
          <w:fldChar w:fldCharType="end"/>
        </w:r>
      </w:hyperlink>
    </w:p>
    <w:p w:rsidR="001952D7" w:rsidRDefault="00A25FF1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44871423" w:history="1">
        <w:r w:rsidR="001952D7" w:rsidRPr="001F31FE">
          <w:rPr>
            <w:rStyle w:val="Hyperlink"/>
            <w:rFonts w:eastAsia="Calibri"/>
            <w:noProof/>
          </w:rPr>
          <w:t>Navigate to Report Studio</w:t>
        </w:r>
        <w:r w:rsidR="001952D7">
          <w:rPr>
            <w:noProof/>
            <w:webHidden/>
          </w:rPr>
          <w:tab/>
        </w:r>
        <w:r w:rsidR="001952D7">
          <w:rPr>
            <w:noProof/>
            <w:webHidden/>
          </w:rPr>
          <w:fldChar w:fldCharType="begin"/>
        </w:r>
        <w:r w:rsidR="001952D7">
          <w:rPr>
            <w:noProof/>
            <w:webHidden/>
          </w:rPr>
          <w:instrText xml:space="preserve"> PAGEREF _Toc444871423 \h </w:instrText>
        </w:r>
        <w:r w:rsidR="001952D7">
          <w:rPr>
            <w:noProof/>
            <w:webHidden/>
          </w:rPr>
        </w:r>
        <w:r w:rsidR="001952D7">
          <w:rPr>
            <w:noProof/>
            <w:webHidden/>
          </w:rPr>
          <w:fldChar w:fldCharType="separate"/>
        </w:r>
        <w:r w:rsidR="001952D7">
          <w:rPr>
            <w:noProof/>
            <w:webHidden/>
          </w:rPr>
          <w:t>2</w:t>
        </w:r>
        <w:r w:rsidR="001952D7">
          <w:rPr>
            <w:noProof/>
            <w:webHidden/>
          </w:rPr>
          <w:fldChar w:fldCharType="end"/>
        </w:r>
      </w:hyperlink>
    </w:p>
    <w:p w:rsidR="001952D7" w:rsidRDefault="00A25FF1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44871424" w:history="1">
        <w:r w:rsidR="001952D7" w:rsidRPr="001F31FE">
          <w:rPr>
            <w:rStyle w:val="Hyperlink"/>
            <w:rFonts w:eastAsia="Calibri"/>
            <w:noProof/>
          </w:rPr>
          <w:t>Process Report</w:t>
        </w:r>
        <w:r w:rsidR="001952D7">
          <w:rPr>
            <w:noProof/>
            <w:webHidden/>
          </w:rPr>
          <w:tab/>
        </w:r>
        <w:r w:rsidR="001952D7">
          <w:rPr>
            <w:noProof/>
            <w:webHidden/>
          </w:rPr>
          <w:fldChar w:fldCharType="begin"/>
        </w:r>
        <w:r w:rsidR="001952D7">
          <w:rPr>
            <w:noProof/>
            <w:webHidden/>
          </w:rPr>
          <w:instrText xml:space="preserve"> PAGEREF _Toc444871424 \h </w:instrText>
        </w:r>
        <w:r w:rsidR="001952D7">
          <w:rPr>
            <w:noProof/>
            <w:webHidden/>
          </w:rPr>
        </w:r>
        <w:r w:rsidR="001952D7">
          <w:rPr>
            <w:noProof/>
            <w:webHidden/>
          </w:rPr>
          <w:fldChar w:fldCharType="separate"/>
        </w:r>
        <w:r w:rsidR="001952D7">
          <w:rPr>
            <w:noProof/>
            <w:webHidden/>
          </w:rPr>
          <w:t>3</w:t>
        </w:r>
        <w:r w:rsidR="001952D7">
          <w:rPr>
            <w:noProof/>
            <w:webHidden/>
          </w:rPr>
          <w:fldChar w:fldCharType="end"/>
        </w:r>
      </w:hyperlink>
    </w:p>
    <w:p w:rsidR="001952D7" w:rsidRDefault="00A25FF1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44871425" w:history="1">
        <w:r w:rsidR="001952D7" w:rsidRPr="001F31FE">
          <w:rPr>
            <w:rStyle w:val="Hyperlink"/>
            <w:rFonts w:eastAsia="Calibri"/>
            <w:noProof/>
          </w:rPr>
          <w:t>Download Report</w:t>
        </w:r>
        <w:r w:rsidR="001952D7">
          <w:rPr>
            <w:noProof/>
            <w:webHidden/>
          </w:rPr>
          <w:tab/>
        </w:r>
        <w:r w:rsidR="001952D7">
          <w:rPr>
            <w:noProof/>
            <w:webHidden/>
          </w:rPr>
          <w:fldChar w:fldCharType="begin"/>
        </w:r>
        <w:r w:rsidR="001952D7">
          <w:rPr>
            <w:noProof/>
            <w:webHidden/>
          </w:rPr>
          <w:instrText xml:space="preserve"> PAGEREF _Toc444871425 \h </w:instrText>
        </w:r>
        <w:r w:rsidR="001952D7">
          <w:rPr>
            <w:noProof/>
            <w:webHidden/>
          </w:rPr>
        </w:r>
        <w:r w:rsidR="001952D7">
          <w:rPr>
            <w:noProof/>
            <w:webHidden/>
          </w:rPr>
          <w:fldChar w:fldCharType="separate"/>
        </w:r>
        <w:r w:rsidR="001952D7">
          <w:rPr>
            <w:noProof/>
            <w:webHidden/>
          </w:rPr>
          <w:t>4</w:t>
        </w:r>
        <w:r w:rsidR="001952D7">
          <w:rPr>
            <w:noProof/>
            <w:webHidden/>
          </w:rPr>
          <w:fldChar w:fldCharType="end"/>
        </w:r>
      </w:hyperlink>
    </w:p>
    <w:p w:rsidR="001952D7" w:rsidRDefault="00A25FF1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44871426" w:history="1">
        <w:r w:rsidR="001952D7" w:rsidRPr="001F31FE">
          <w:rPr>
            <w:rStyle w:val="Hyperlink"/>
            <w:rFonts w:eastAsia="Calibri"/>
            <w:noProof/>
          </w:rPr>
          <w:t>Run Macro (part 1)</w:t>
        </w:r>
        <w:r w:rsidR="001952D7">
          <w:rPr>
            <w:noProof/>
            <w:webHidden/>
          </w:rPr>
          <w:tab/>
        </w:r>
        <w:r w:rsidR="001952D7">
          <w:rPr>
            <w:noProof/>
            <w:webHidden/>
          </w:rPr>
          <w:fldChar w:fldCharType="begin"/>
        </w:r>
        <w:r w:rsidR="001952D7">
          <w:rPr>
            <w:noProof/>
            <w:webHidden/>
          </w:rPr>
          <w:instrText xml:space="preserve"> PAGEREF _Toc444871426 \h </w:instrText>
        </w:r>
        <w:r w:rsidR="001952D7">
          <w:rPr>
            <w:noProof/>
            <w:webHidden/>
          </w:rPr>
        </w:r>
        <w:r w:rsidR="001952D7">
          <w:rPr>
            <w:noProof/>
            <w:webHidden/>
          </w:rPr>
          <w:fldChar w:fldCharType="separate"/>
        </w:r>
        <w:r w:rsidR="001952D7">
          <w:rPr>
            <w:noProof/>
            <w:webHidden/>
          </w:rPr>
          <w:t>5</w:t>
        </w:r>
        <w:r w:rsidR="001952D7">
          <w:rPr>
            <w:noProof/>
            <w:webHidden/>
          </w:rPr>
          <w:fldChar w:fldCharType="end"/>
        </w:r>
      </w:hyperlink>
    </w:p>
    <w:p w:rsidR="001952D7" w:rsidRDefault="00A25FF1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44871427" w:history="1">
        <w:r w:rsidR="001952D7" w:rsidRPr="001F31FE">
          <w:rPr>
            <w:rStyle w:val="Hyperlink"/>
            <w:rFonts w:eastAsia="Calibri"/>
            <w:noProof/>
          </w:rPr>
          <w:t>Run Macro (part 2)</w:t>
        </w:r>
        <w:r w:rsidR="001952D7">
          <w:rPr>
            <w:noProof/>
            <w:webHidden/>
          </w:rPr>
          <w:tab/>
        </w:r>
        <w:r w:rsidR="001952D7">
          <w:rPr>
            <w:noProof/>
            <w:webHidden/>
          </w:rPr>
          <w:fldChar w:fldCharType="begin"/>
        </w:r>
        <w:r w:rsidR="001952D7">
          <w:rPr>
            <w:noProof/>
            <w:webHidden/>
          </w:rPr>
          <w:instrText xml:space="preserve"> PAGEREF _Toc444871427 \h </w:instrText>
        </w:r>
        <w:r w:rsidR="001952D7">
          <w:rPr>
            <w:noProof/>
            <w:webHidden/>
          </w:rPr>
        </w:r>
        <w:r w:rsidR="001952D7">
          <w:rPr>
            <w:noProof/>
            <w:webHidden/>
          </w:rPr>
          <w:fldChar w:fldCharType="separate"/>
        </w:r>
        <w:r w:rsidR="001952D7">
          <w:rPr>
            <w:noProof/>
            <w:webHidden/>
          </w:rPr>
          <w:t>6</w:t>
        </w:r>
        <w:r w:rsidR="001952D7">
          <w:rPr>
            <w:noProof/>
            <w:webHidden/>
          </w:rPr>
          <w:fldChar w:fldCharType="end"/>
        </w:r>
      </w:hyperlink>
    </w:p>
    <w:p w:rsidR="001952D7" w:rsidRDefault="00A25FF1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44871428" w:history="1">
        <w:r w:rsidR="001952D7" w:rsidRPr="001F31FE">
          <w:rPr>
            <w:rStyle w:val="Hyperlink"/>
            <w:rFonts w:eastAsia="Calibri"/>
            <w:noProof/>
          </w:rPr>
          <w:t>Edit Formatted File</w:t>
        </w:r>
        <w:r w:rsidR="001952D7">
          <w:rPr>
            <w:noProof/>
            <w:webHidden/>
          </w:rPr>
          <w:tab/>
        </w:r>
        <w:r w:rsidR="001952D7">
          <w:rPr>
            <w:noProof/>
            <w:webHidden/>
          </w:rPr>
          <w:fldChar w:fldCharType="begin"/>
        </w:r>
        <w:r w:rsidR="001952D7">
          <w:rPr>
            <w:noProof/>
            <w:webHidden/>
          </w:rPr>
          <w:instrText xml:space="preserve"> PAGEREF _Toc444871428 \h </w:instrText>
        </w:r>
        <w:r w:rsidR="001952D7">
          <w:rPr>
            <w:noProof/>
            <w:webHidden/>
          </w:rPr>
        </w:r>
        <w:r w:rsidR="001952D7">
          <w:rPr>
            <w:noProof/>
            <w:webHidden/>
          </w:rPr>
          <w:fldChar w:fldCharType="separate"/>
        </w:r>
        <w:r w:rsidR="001952D7">
          <w:rPr>
            <w:noProof/>
            <w:webHidden/>
          </w:rPr>
          <w:t>8</w:t>
        </w:r>
        <w:r w:rsidR="001952D7">
          <w:rPr>
            <w:noProof/>
            <w:webHidden/>
          </w:rPr>
          <w:fldChar w:fldCharType="end"/>
        </w:r>
      </w:hyperlink>
    </w:p>
    <w:p w:rsidR="00B2367F" w:rsidRDefault="006263E1">
      <w:r>
        <w:fldChar w:fldCharType="end"/>
      </w:r>
    </w:p>
    <w:p w:rsidR="00B2367F" w:rsidRPr="003A36E4" w:rsidRDefault="00B2367F" w:rsidP="00B2367F">
      <w:pPr>
        <w:pStyle w:val="Style1"/>
      </w:pPr>
      <w:r>
        <w:br w:type="page"/>
      </w:r>
      <w:bookmarkStart w:id="0" w:name="_Toc444871422"/>
      <w:r w:rsidR="00EC53B3">
        <w:t xml:space="preserve">Log </w:t>
      </w:r>
      <w:r w:rsidR="00DE41CD">
        <w:t>into</w:t>
      </w:r>
      <w:r w:rsidR="00B252A8">
        <w:t xml:space="preserve"> Regions Website</w:t>
      </w:r>
      <w:bookmarkEnd w:id="0"/>
    </w:p>
    <w:p w:rsidR="00EC53B3" w:rsidRDefault="00EC53B3" w:rsidP="00830707">
      <w:r>
        <w:t>Go to the following URL</w:t>
      </w:r>
      <w:r w:rsidRPr="00EC53B3">
        <w:t xml:space="preserve"> </w:t>
      </w:r>
      <w:hyperlink r:id="rId9" w:history="1">
        <w:r w:rsidRPr="00EC53B3">
          <w:rPr>
            <w:rStyle w:val="Hyperlink"/>
          </w:rPr>
          <w:t>https://intersect.regions.com</w:t>
        </w:r>
      </w:hyperlink>
      <w:r w:rsidR="007B7716">
        <w:t>.</w:t>
      </w:r>
      <w:r>
        <w:t xml:space="preserve"> </w:t>
      </w:r>
    </w:p>
    <w:p w:rsidR="00B252A8" w:rsidRDefault="00B252A8" w:rsidP="00830707">
      <w:r>
        <w:t xml:space="preserve">Log in with </w:t>
      </w:r>
      <w:r w:rsidR="00DE41CD">
        <w:t>Region</w:t>
      </w:r>
      <w:r>
        <w:t xml:space="preserve"> provided credentials.</w:t>
      </w:r>
    </w:p>
    <w:p w:rsidR="00B252A8" w:rsidRDefault="00B252A8" w:rsidP="00830707">
      <w:r>
        <w:rPr>
          <w:noProof/>
          <w:lang w:bidi="ar-SA"/>
        </w:rPr>
        <w:drawing>
          <wp:inline distT="0" distB="0" distL="0" distR="0" wp14:anchorId="18B48419" wp14:editId="0A3F9637">
            <wp:extent cx="3819048" cy="216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9048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67F" w:rsidRPr="003A36E4" w:rsidRDefault="00B252A8" w:rsidP="00B2367F">
      <w:pPr>
        <w:pStyle w:val="Style1"/>
      </w:pPr>
      <w:bookmarkStart w:id="1" w:name="_Toc444871423"/>
      <w:r>
        <w:t>Navigate to Report Studio</w:t>
      </w:r>
      <w:bookmarkEnd w:id="1"/>
    </w:p>
    <w:p w:rsidR="00C616DC" w:rsidRDefault="00B252A8" w:rsidP="00B2367F">
      <w:pPr>
        <w:rPr>
          <w:noProof/>
          <w:lang w:bidi="ar-SA"/>
        </w:rPr>
      </w:pPr>
      <w:r>
        <w:t>Move computer</w:t>
      </w:r>
      <w:r>
        <w:rPr>
          <w:noProof/>
          <w:lang w:bidi="ar-SA"/>
        </w:rPr>
        <w:t xml:space="preserve"> mouse over the “Report Studio” menu item. Once the menu expands, click on “Company Reports.”</w:t>
      </w:r>
    </w:p>
    <w:p w:rsidR="00FF0517" w:rsidRDefault="00FF0517" w:rsidP="00B2367F">
      <w:r>
        <w:rPr>
          <w:noProof/>
          <w:lang w:bidi="ar-SA"/>
        </w:rPr>
        <w:drawing>
          <wp:inline distT="0" distB="0" distL="0" distR="0" wp14:anchorId="4F9ED897" wp14:editId="28C83F57">
            <wp:extent cx="3926030" cy="1441716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6756" cy="144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17" w:rsidRDefault="00FF0517" w:rsidP="00B2367F">
      <w:r>
        <w:t>Select the report titled: “NEFEC Monthly Import.”</w:t>
      </w:r>
    </w:p>
    <w:p w:rsidR="00506CAE" w:rsidRDefault="00061DE4" w:rsidP="00B2367F">
      <w:r>
        <w:rPr>
          <w:noProof/>
          <w:lang w:bidi="ar-SA"/>
        </w:rPr>
        <w:drawing>
          <wp:inline distT="0" distB="0" distL="0" distR="0" wp14:anchorId="0688A629" wp14:editId="1D7F5DCB">
            <wp:extent cx="4257143" cy="191428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249" w:rsidRDefault="00061DE4" w:rsidP="00776249">
      <w:pPr>
        <w:pStyle w:val="Style1"/>
      </w:pPr>
      <w:bookmarkStart w:id="2" w:name="_Toc444871424"/>
      <w:r>
        <w:t>Process Report</w:t>
      </w:r>
      <w:bookmarkEnd w:id="2"/>
    </w:p>
    <w:p w:rsidR="00061DE4" w:rsidRDefault="00770C6D" w:rsidP="00061DE4">
      <w:r>
        <w:t xml:space="preserve">Before clicking the “Submit” button at the bottom of the </w:t>
      </w:r>
      <w:r w:rsidR="00DE41CD">
        <w:t>screen,</w:t>
      </w:r>
      <w:r>
        <w:t xml:space="preserve"> verify that the screen displays “Hierarchy” and that the filters are set as in the screen capture</w:t>
      </w:r>
      <w:r w:rsidR="003F1D9B">
        <w:t xml:space="preserve"> below</w:t>
      </w:r>
      <w:r>
        <w:t>.</w:t>
      </w:r>
    </w:p>
    <w:p w:rsidR="003F1D9B" w:rsidRDefault="003F1D9B" w:rsidP="00061DE4">
      <w:r>
        <w:rPr>
          <w:noProof/>
          <w:lang w:bidi="ar-SA"/>
        </w:rPr>
        <w:drawing>
          <wp:inline distT="0" distB="0" distL="0" distR="0" wp14:anchorId="24185776" wp14:editId="34F7CE45">
            <wp:extent cx="6858000" cy="5397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D9B" w:rsidRDefault="003F1D9B">
      <w:pPr>
        <w:spacing w:after="0" w:line="240" w:lineRule="auto"/>
      </w:pPr>
      <w:r>
        <w:br w:type="page"/>
      </w:r>
    </w:p>
    <w:p w:rsidR="00055086" w:rsidRDefault="003F1D9B" w:rsidP="00055086">
      <w:pPr>
        <w:pStyle w:val="Style1"/>
      </w:pPr>
      <w:bookmarkStart w:id="3" w:name="_Toc444871425"/>
      <w:r>
        <w:t>Download Report</w:t>
      </w:r>
      <w:bookmarkEnd w:id="3"/>
    </w:p>
    <w:p w:rsidR="003F1D9B" w:rsidRDefault="003F1D9B" w:rsidP="003F1D9B">
      <w:r>
        <w:t>From the dropdown menu, select “Excel 2007(xlsx)” and then click the “Export” hyperlink to the right.</w:t>
      </w:r>
    </w:p>
    <w:p w:rsidR="003F1D9B" w:rsidRDefault="003F1D9B" w:rsidP="003F1D9B">
      <w:r>
        <w:rPr>
          <w:noProof/>
          <w:lang w:bidi="ar-SA"/>
        </w:rPr>
        <w:drawing>
          <wp:inline distT="0" distB="0" distL="0" distR="0" wp14:anchorId="0730D441" wp14:editId="74FAE224">
            <wp:extent cx="2990476" cy="1457143"/>
            <wp:effectExtent l="0" t="0" r="63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D9B" w:rsidRDefault="00DE41CD" w:rsidP="003F1D9B">
      <w:r>
        <w:t xml:space="preserve">Once you click “Export,” the browser will begin </w:t>
      </w:r>
      <w:r w:rsidR="003F1D9B">
        <w:t>to download a file. (This may vary depending upon the type of web browser you are using.)</w:t>
      </w:r>
      <w:r w:rsidR="00993EA8">
        <w:t xml:space="preserve"> Go to the location on your computer to where you downloaded the file and then double click the file. This will open it into your computer’s unzip program.</w:t>
      </w:r>
    </w:p>
    <w:p w:rsidR="00993EA8" w:rsidRDefault="00993EA8" w:rsidP="003F1D9B">
      <w:r>
        <w:rPr>
          <w:noProof/>
          <w:lang w:bidi="ar-SA"/>
        </w:rPr>
        <w:drawing>
          <wp:inline distT="0" distB="0" distL="0" distR="0" wp14:anchorId="74E25BEF" wp14:editId="60225004">
            <wp:extent cx="6858000" cy="551815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A8" w:rsidRDefault="000F6B14" w:rsidP="003F1D9B">
      <w:r>
        <w:t xml:space="preserve"> Open a folder on your computer and n</w:t>
      </w:r>
      <w:r w:rsidR="00993EA8">
        <w:t xml:space="preserve">avigate </w:t>
      </w:r>
      <w:r w:rsidR="00DE41CD">
        <w:t>to</w:t>
      </w:r>
      <w:r w:rsidR="00993EA8">
        <w:t xml:space="preserve"> </w:t>
      </w:r>
      <w:hyperlink r:id="rId16" w:history="1">
        <w:r>
          <w:rPr>
            <w:rStyle w:val="Hyperlink"/>
          </w:rPr>
          <w:t>\\nricdc.org\x-drive\NEFEC-Public\Educational Technology Services\Budgets\Regions\P'card Reconcilation &amp; JE\</w:t>
        </w:r>
      </w:hyperlink>
      <w:r>
        <w:t>. From the unzip program, drag the file into the Windows folder.</w:t>
      </w:r>
    </w:p>
    <w:p w:rsidR="000F6B14" w:rsidRDefault="000F6B14" w:rsidP="003F1D9B">
      <w:r>
        <w:rPr>
          <w:noProof/>
          <w:lang w:bidi="ar-SA"/>
        </w:rPr>
        <w:drawing>
          <wp:inline distT="0" distB="0" distL="0" distR="0" wp14:anchorId="0E96A815" wp14:editId="5C082890">
            <wp:extent cx="6858000" cy="29984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B14" w:rsidRDefault="000F6B14">
      <w:pPr>
        <w:spacing w:after="0" w:line="240" w:lineRule="auto"/>
      </w:pPr>
      <w:r>
        <w:br w:type="page"/>
      </w:r>
    </w:p>
    <w:p w:rsidR="003F1DB7" w:rsidRDefault="00827039" w:rsidP="003F1DB7">
      <w:pPr>
        <w:pStyle w:val="Style1"/>
      </w:pPr>
      <w:bookmarkStart w:id="4" w:name="_Toc444871426"/>
      <w:r>
        <w:t>Run Macro (part 1)</w:t>
      </w:r>
      <w:bookmarkEnd w:id="4"/>
    </w:p>
    <w:p w:rsidR="003F1DB7" w:rsidRDefault="003F1DB7" w:rsidP="003F1DB7">
      <w:r>
        <w:t xml:space="preserve">Navigate </w:t>
      </w:r>
      <w:r w:rsidR="00DE41CD">
        <w:t>to</w:t>
      </w:r>
      <w:r>
        <w:t xml:space="preserve"> </w:t>
      </w:r>
      <w:hyperlink r:id="rId18" w:history="1">
        <w:r w:rsidRPr="003F1DB7">
          <w:rPr>
            <w:rStyle w:val="Hyperlink"/>
          </w:rPr>
          <w:t>\\nricdc.org\x-drive\NEFEC-Public\Educational Technology Services\Budgets\Regions</w:t>
        </w:r>
      </w:hyperlink>
      <w:r>
        <w:t xml:space="preserve">. </w:t>
      </w:r>
      <w:r w:rsidR="00827039">
        <w:t>Double click the Excel file titled “NEFEC Regions Card Converter File.</w:t>
      </w:r>
    </w:p>
    <w:p w:rsidR="003F1DB7" w:rsidRDefault="003F1DB7" w:rsidP="003F1DB7">
      <w:r>
        <w:rPr>
          <w:noProof/>
          <w:lang w:bidi="ar-SA"/>
        </w:rPr>
        <w:drawing>
          <wp:inline distT="0" distB="0" distL="0" distR="0" wp14:anchorId="20AE729B" wp14:editId="43156719">
            <wp:extent cx="6858000" cy="3294380"/>
            <wp:effectExtent l="0" t="0" r="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039" w:rsidRDefault="00827039" w:rsidP="003F1DB7">
      <w:r>
        <w:t>If this is the first time running the file, there will most likely be a security warning in Excel. Click the “Enable Content Button.”</w:t>
      </w:r>
    </w:p>
    <w:p w:rsidR="00827039" w:rsidRDefault="00827039" w:rsidP="003F1DB7">
      <w:r>
        <w:rPr>
          <w:noProof/>
          <w:lang w:bidi="ar-SA"/>
        </w:rPr>
        <w:drawing>
          <wp:inline distT="0" distB="0" distL="0" distR="0" wp14:anchorId="463CB269" wp14:editId="23298B4B">
            <wp:extent cx="4247619" cy="390476"/>
            <wp:effectExtent l="0" t="0" r="63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47619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039" w:rsidRDefault="008A2A8D" w:rsidP="003F1DB7">
      <w:r>
        <w:t>There may be at least one, or possibly two, more security warning. Click “Yes” or “Enable” as necessary.</w:t>
      </w:r>
    </w:p>
    <w:p w:rsidR="008A2A8D" w:rsidRDefault="008A2A8D" w:rsidP="003F1DB7">
      <w:r>
        <w:rPr>
          <w:noProof/>
          <w:lang w:bidi="ar-SA"/>
        </w:rPr>
        <w:drawing>
          <wp:inline distT="0" distB="0" distL="0" distR="0" wp14:anchorId="450824BA" wp14:editId="2AA3512D">
            <wp:extent cx="3826838" cy="1606550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43735" cy="161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A8D" w:rsidRDefault="008A2A8D">
      <w:pPr>
        <w:spacing w:after="0" w:line="240" w:lineRule="auto"/>
      </w:pPr>
      <w:r>
        <w:br w:type="page"/>
      </w:r>
    </w:p>
    <w:p w:rsidR="003F1DB7" w:rsidRDefault="008A2A8D" w:rsidP="003F1DB7">
      <w:pPr>
        <w:pStyle w:val="Style1"/>
      </w:pPr>
      <w:bookmarkStart w:id="5" w:name="_Toc444871427"/>
      <w:r>
        <w:t>Run Macro (part 2)</w:t>
      </w:r>
      <w:bookmarkEnd w:id="5"/>
    </w:p>
    <w:p w:rsidR="003F1DB7" w:rsidRDefault="008A2A8D" w:rsidP="003F1DB7">
      <w:r>
        <w:t xml:space="preserve">Click the large grey button </w:t>
      </w:r>
      <w:r w:rsidR="00DE41CD">
        <w:t>labeled</w:t>
      </w:r>
      <w:r>
        <w:t xml:space="preserve"> “Click HERE to run the converter file.”</w:t>
      </w:r>
    </w:p>
    <w:p w:rsidR="008A2A8D" w:rsidRDefault="008A2A8D" w:rsidP="003F1DB7">
      <w:r>
        <w:rPr>
          <w:noProof/>
          <w:lang w:bidi="ar-SA"/>
        </w:rPr>
        <w:drawing>
          <wp:inline distT="0" distB="0" distL="0" distR="0" wp14:anchorId="233EB8CD" wp14:editId="314100D5">
            <wp:extent cx="3142857" cy="2161905"/>
            <wp:effectExtent l="0" t="0" r="63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A8D" w:rsidRDefault="006F1EAB" w:rsidP="003F1DB7">
      <w:r>
        <w:t xml:space="preserve">After click the button, Excel will open the Open file dialogue box. Navigate </w:t>
      </w:r>
      <w:r w:rsidR="00DE41CD">
        <w:t>to</w:t>
      </w:r>
      <w:r>
        <w:t xml:space="preserve"> </w:t>
      </w:r>
      <w:r w:rsidR="008A2A8D" w:rsidRPr="008A2A8D">
        <w:t>X:\Educational Technology Services\Budgets\Regions\P'card Reconcilation &amp; JE</w:t>
      </w:r>
      <w:r>
        <w:t>. Select the downloaded Region’s file and click the “Open” button. The macro will run and format the spreadsheet automatically.</w:t>
      </w:r>
    </w:p>
    <w:p w:rsidR="006F1EAB" w:rsidRDefault="006F1EAB" w:rsidP="003F1DB7">
      <w:r>
        <w:rPr>
          <w:noProof/>
          <w:lang w:bidi="ar-SA"/>
        </w:rPr>
        <w:drawing>
          <wp:inline distT="0" distB="0" distL="0" distR="0">
            <wp:extent cx="6858000" cy="4065309"/>
            <wp:effectExtent l="0" t="0" r="0" b="0"/>
            <wp:docPr id="44" name="Picture 44" descr="C:\Users\saylera\AppData\Local\Temp\SNAGHTML6e1dd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ylera\AppData\Local\Temp\SNAGHTML6e1dd3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6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AB" w:rsidRDefault="006F1EAB">
      <w:pPr>
        <w:spacing w:after="0" w:line="240" w:lineRule="auto"/>
      </w:pPr>
      <w:r>
        <w:br w:type="page"/>
      </w:r>
    </w:p>
    <w:p w:rsidR="008A2A8D" w:rsidRDefault="006F1EAB" w:rsidP="003F1DB7">
      <w:r>
        <w:t xml:space="preserve">Once the macro has completed formatting the data, Excel will open the Save As dialogue box. Navigate to the appropriate fiscal year folder, such </w:t>
      </w:r>
      <w:r w:rsidR="00DE41CD">
        <w:t>as</w:t>
      </w:r>
      <w:r>
        <w:t xml:space="preserve"> </w:t>
      </w:r>
      <w:r w:rsidRPr="006F1EAB">
        <w:t>X:\Educational Technology Services\Budgets\Regions\P'card Reconcilation &amp; JE\2015-16 Pcard</w:t>
      </w:r>
      <w:r>
        <w:t>. Near the top of the dialogue box, there will be the option to create a “New folder,” click “New folder.”</w:t>
      </w:r>
      <w:r w:rsidR="00201368">
        <w:t xml:space="preserve"> Type </w:t>
      </w:r>
      <w:r w:rsidR="00DE41CD">
        <w:t>a</w:t>
      </w:r>
      <w:r w:rsidR="00201368">
        <w:t xml:space="preserve"> name for the folder</w:t>
      </w:r>
      <w:r w:rsidR="00DE41CD">
        <w:t>,</w:t>
      </w:r>
      <w:r w:rsidR="00201368">
        <w:t xml:space="preserve"> </w:t>
      </w:r>
      <w:r w:rsidR="00DE41CD">
        <w:t>using</w:t>
      </w:r>
      <w:r w:rsidR="00201368">
        <w:t xml:space="preserve"> the format of Year and then Month. Next, double click the newly created folder and type a </w:t>
      </w:r>
      <w:r w:rsidR="00F90BE2">
        <w:t xml:space="preserve">file name in following the format Month Name (i.e., March) and </w:t>
      </w:r>
      <w:r w:rsidR="00DE41CD">
        <w:t>four-digit</w:t>
      </w:r>
      <w:r w:rsidR="00F90BE2">
        <w:t xml:space="preserve"> year. Click the “Save” button.</w:t>
      </w:r>
    </w:p>
    <w:p w:rsidR="00F90BE2" w:rsidRDefault="00F90BE2" w:rsidP="003F1DB7">
      <w:r>
        <w:rPr>
          <w:noProof/>
          <w:lang w:bidi="ar-SA"/>
        </w:rPr>
        <w:drawing>
          <wp:inline distT="0" distB="0" distL="0" distR="0" wp14:anchorId="6050988F" wp14:editId="29B3D12E">
            <wp:extent cx="4485714" cy="3142857"/>
            <wp:effectExtent l="0" t="0" r="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85714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BE2" w:rsidRDefault="00F90BE2" w:rsidP="003F1DB7">
      <w:r>
        <w:rPr>
          <w:noProof/>
          <w:lang w:bidi="ar-SA"/>
        </w:rPr>
        <w:drawing>
          <wp:inline distT="0" distB="0" distL="0" distR="0">
            <wp:extent cx="4286250" cy="3429000"/>
            <wp:effectExtent l="0" t="0" r="0" b="0"/>
            <wp:docPr id="47" name="Picture 47" descr="C:\Users\saylera\AppData\Local\Temp\SNAGHTML6f8d8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ylera\AppData\Local\Temp\SNAGHTML6f8d80a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E2" w:rsidRDefault="00F90BE2">
      <w:pPr>
        <w:spacing w:after="0" w:line="240" w:lineRule="auto"/>
      </w:pPr>
      <w:r>
        <w:br w:type="page"/>
      </w:r>
    </w:p>
    <w:p w:rsidR="00F90BE2" w:rsidRDefault="00F90BE2" w:rsidP="00F90BE2">
      <w:pPr>
        <w:pStyle w:val="Style1"/>
      </w:pPr>
      <w:bookmarkStart w:id="6" w:name="_Toc444871428"/>
      <w:r>
        <w:t>Edit Formatted File</w:t>
      </w:r>
      <w:bookmarkEnd w:id="6"/>
    </w:p>
    <w:p w:rsidR="00F90BE2" w:rsidRDefault="00F90BE2" w:rsidP="00F90BE2">
      <w:r>
        <w:t xml:space="preserve">The Region’s transaction report will contain a record of NEFEC’s payment for the previous month. </w:t>
      </w:r>
      <w:r w:rsidR="00DE41CD">
        <w:t>Delete this transaction</w:t>
      </w:r>
      <w:r>
        <w:t xml:space="preserve"> before importing into PaC. In order to delete the record, navigate to where the record </w:t>
      </w:r>
      <w:r w:rsidR="00352082">
        <w:t>you saved the file</w:t>
      </w:r>
      <w:r>
        <w:t xml:space="preserve">. </w:t>
      </w:r>
      <w:r w:rsidRPr="00DB250F">
        <w:rPr>
          <w:b/>
          <w:color w:val="FF0000"/>
        </w:rPr>
        <w:t>***IMPORTANT*** DO NOT DOUBLE C</w:t>
      </w:r>
      <w:r w:rsidR="00DB250F" w:rsidRPr="00DB250F">
        <w:rPr>
          <w:b/>
          <w:color w:val="FF0000"/>
        </w:rPr>
        <w:t>LICK THE FILE AND OPEN IN EXCEL</w:t>
      </w:r>
      <w:r w:rsidRPr="00DB250F">
        <w:rPr>
          <w:b/>
          <w:color w:val="FF0000"/>
        </w:rPr>
        <w:t xml:space="preserve"> THIS WILL REMOVE LEADING ZEROS***</w:t>
      </w:r>
      <w:r w:rsidRPr="00DB250F">
        <w:rPr>
          <w:color w:val="FF0000"/>
        </w:rPr>
        <w:t xml:space="preserve"> </w:t>
      </w:r>
      <w:r w:rsidR="00BA7867">
        <w:t xml:space="preserve">Right-click on the file and select “Open with” and then “Notepad”. (If your computer has Notepad++ </w:t>
      </w:r>
      <w:r w:rsidR="00352082">
        <w:t>installed,</w:t>
      </w:r>
      <w:r w:rsidR="00BA7867">
        <w:t xml:space="preserve"> use that to open the file, otherwise use Notepad.) Delete this line and make sure that there are no spaces between the rows/lines. Click “Save,” exit Notepad, and now the file is ready to be imported into Skyward or PaC.</w:t>
      </w:r>
    </w:p>
    <w:p w:rsidR="00BA7867" w:rsidRDefault="00BA7867" w:rsidP="00F90BE2">
      <w:r>
        <w:rPr>
          <w:noProof/>
          <w:lang w:bidi="ar-SA"/>
        </w:rPr>
        <w:drawing>
          <wp:inline distT="0" distB="0" distL="0" distR="0" wp14:anchorId="0A59777C" wp14:editId="7060E1FD">
            <wp:extent cx="6858000" cy="19304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BE2" w:rsidRDefault="00F90BE2" w:rsidP="003F1DB7"/>
    <w:p w:rsidR="00201368" w:rsidRDefault="00201368" w:rsidP="003F1DB7"/>
    <w:sectPr w:rsidR="00201368" w:rsidSect="007F3127">
      <w:headerReference w:type="default" r:id="rId27"/>
      <w:footerReference w:type="default" r:id="rId28"/>
      <w:pgSz w:w="12240" w:h="15840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F1" w:rsidRDefault="00A25FF1" w:rsidP="00FC3670">
      <w:pPr>
        <w:spacing w:after="0" w:line="240" w:lineRule="auto"/>
      </w:pPr>
      <w:r>
        <w:separator/>
      </w:r>
    </w:p>
  </w:endnote>
  <w:endnote w:type="continuationSeparator" w:id="0">
    <w:p w:rsidR="00A25FF1" w:rsidRDefault="00A25FF1" w:rsidP="00F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960"/>
      <w:gridCol w:w="9024"/>
    </w:tblGrid>
    <w:tr w:rsidR="00BB42CF" w:rsidRPr="007C176E" w:rsidTr="003A36E4">
      <w:tc>
        <w:tcPr>
          <w:tcW w:w="1998" w:type="dxa"/>
        </w:tcPr>
        <w:p w:rsidR="00BB42CF" w:rsidRPr="007C176E" w:rsidRDefault="00BB42CF" w:rsidP="0074731E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t>09/23/2015</w:t>
          </w:r>
        </w:p>
      </w:tc>
      <w:tc>
        <w:tcPr>
          <w:tcW w:w="9205" w:type="dxa"/>
        </w:tcPr>
        <w:p w:rsidR="00BB42CF" w:rsidRPr="00E90E6D" w:rsidRDefault="00BB42CF" w:rsidP="00E90E6D">
          <w:pPr>
            <w:spacing w:after="0"/>
            <w:rPr>
              <w:sz w:val="20"/>
              <w:szCs w:val="20"/>
            </w:rPr>
          </w:pPr>
          <w:r w:rsidRPr="00155834">
            <w:rPr>
              <w:sz w:val="20"/>
              <w:szCs w:val="20"/>
            </w:rPr>
            <w:t xml:space="preserve">                          </w:t>
          </w:r>
          <w:r>
            <w:rPr>
              <w:sz w:val="20"/>
              <w:szCs w:val="20"/>
            </w:rPr>
            <w:t xml:space="preserve">   </w:t>
          </w:r>
          <w:r w:rsidRPr="00155834">
            <w:rPr>
              <w:sz w:val="20"/>
              <w:szCs w:val="20"/>
            </w:rPr>
            <w:t xml:space="preserve">     </w:t>
          </w:r>
          <w:r>
            <w:rPr>
              <w:sz w:val="20"/>
              <w:szCs w:val="20"/>
            </w:rPr>
            <w:t xml:space="preserve">    </w:t>
          </w:r>
          <w:r w:rsidR="00E90E6D" w:rsidRPr="00E90E6D">
            <w:rPr>
              <w:color w:val="000000" w:themeColor="text1"/>
              <w:sz w:val="20"/>
              <w:szCs w:val="20"/>
            </w:rPr>
            <w:t>Regions P-card Transaction Download &amp; Conversion</w:t>
          </w:r>
          <w:r>
            <w:rPr>
              <w:sz w:val="20"/>
              <w:szCs w:val="20"/>
            </w:rPr>
            <w:t xml:space="preserve">                        </w:t>
          </w:r>
          <w:r w:rsidRPr="007C176E">
            <w:rPr>
              <w:color w:val="7F7F7F"/>
              <w:spacing w:val="60"/>
            </w:rPr>
            <w:t>Page</w:t>
          </w:r>
          <w:r w:rsidRPr="007C176E"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6752" w:rsidRPr="000E6752">
            <w:rPr>
              <w:b/>
              <w:noProof/>
            </w:rPr>
            <w:t>1</w:t>
          </w:r>
          <w:r>
            <w:rPr>
              <w:b/>
              <w:noProof/>
            </w:rPr>
            <w:fldChar w:fldCharType="end"/>
          </w:r>
        </w:p>
      </w:tc>
    </w:tr>
    <w:tr w:rsidR="00BB42CF" w:rsidRPr="007C176E" w:rsidTr="003A36E4">
      <w:tc>
        <w:tcPr>
          <w:tcW w:w="1998" w:type="dxa"/>
        </w:tcPr>
        <w:p w:rsidR="00BB42CF" w:rsidRPr="007C176E" w:rsidRDefault="00BB42CF" w:rsidP="00C6265A">
          <w:pPr>
            <w:pStyle w:val="Footer"/>
          </w:pPr>
        </w:p>
      </w:tc>
      <w:tc>
        <w:tcPr>
          <w:tcW w:w="9205" w:type="dxa"/>
        </w:tcPr>
        <w:p w:rsidR="00BB42CF" w:rsidRPr="007C176E" w:rsidRDefault="00BB42CF" w:rsidP="00C6265A">
          <w:pPr>
            <w:pStyle w:val="Footer"/>
            <w:tabs>
              <w:tab w:val="clear" w:pos="4680"/>
              <w:tab w:val="clear" w:pos="9360"/>
              <w:tab w:val="left" w:pos="5505"/>
            </w:tabs>
          </w:pPr>
          <w:r w:rsidRPr="007C176E">
            <w:tab/>
          </w:r>
        </w:p>
      </w:tc>
    </w:tr>
  </w:tbl>
  <w:p w:rsidR="00BB42CF" w:rsidRDefault="00BB4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F1" w:rsidRDefault="00A25FF1" w:rsidP="00FC3670">
      <w:pPr>
        <w:spacing w:after="0" w:line="240" w:lineRule="auto"/>
      </w:pPr>
      <w:r>
        <w:separator/>
      </w:r>
    </w:p>
  </w:footnote>
  <w:footnote w:type="continuationSeparator" w:id="0">
    <w:p w:rsidR="00A25FF1" w:rsidRDefault="00A25FF1" w:rsidP="00FC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CF" w:rsidRDefault="00BB42CF" w:rsidP="00DD69B2">
    <w:pPr>
      <w:pStyle w:val="Header"/>
      <w:pBdr>
        <w:between w:val="single" w:sz="4" w:space="1" w:color="4F81BD"/>
      </w:pBdr>
      <w:spacing w:line="276" w:lineRule="auto"/>
    </w:pPr>
    <w:r>
      <w:rPr>
        <w:b/>
        <w:noProof/>
        <w:color w:val="365F91"/>
        <w:lang w:bidi="ar-SA"/>
      </w:rPr>
      <w:drawing>
        <wp:anchor distT="0" distB="0" distL="114300" distR="114300" simplePos="0" relativeHeight="251658240" behindDoc="0" locked="0" layoutInCell="1" allowOverlap="1" wp14:anchorId="54828C51" wp14:editId="2F4DE840">
          <wp:simplePos x="0" y="0"/>
          <wp:positionH relativeFrom="column">
            <wp:posOffset>4136314</wp:posOffset>
          </wp:positionH>
          <wp:positionV relativeFrom="page">
            <wp:posOffset>131673</wp:posOffset>
          </wp:positionV>
          <wp:extent cx="292100" cy="292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Procedural Guide</w:t>
    </w:r>
    <w:r w:rsidRPr="000A276C">
      <w:rPr>
        <w:b/>
        <w:noProof/>
        <w:sz w:val="28"/>
        <w:szCs w:val="28"/>
      </w:rPr>
      <w:t xml:space="preserve"> </w:t>
    </w:r>
    <w:r w:rsidRPr="000A276C">
      <w:rPr>
        <w:b/>
        <w:i/>
        <w:noProof/>
      </w:rPr>
      <w:t xml:space="preserve">for </w:t>
    </w:r>
    <w:r>
      <w:rPr>
        <w:b/>
        <w:i/>
        <w:noProof/>
      </w:rPr>
      <w:t>Business Systems</w:t>
    </w:r>
    <w:r>
      <w:rPr>
        <w:b/>
        <w:i/>
        <w:noProof/>
      </w:rPr>
      <w:tab/>
      <w:t xml:space="preserve">                </w:t>
    </w:r>
    <w:r>
      <w:rPr>
        <w:b/>
        <w:noProof/>
        <w:color w:val="365F91"/>
        <w:sz w:val="24"/>
        <w:szCs w:val="24"/>
      </w:rPr>
      <w:t xml:space="preserve">  </w:t>
    </w:r>
    <w:r w:rsidRPr="000A276C">
      <w:rPr>
        <w:b/>
        <w:noProof/>
        <w:color w:val="365F91"/>
        <w:sz w:val="24"/>
        <w:szCs w:val="24"/>
      </w:rPr>
      <w:t xml:space="preserve">                  </w:t>
    </w:r>
    <w:r>
      <w:rPr>
        <w:b/>
        <w:noProof/>
        <w:color w:val="365F91"/>
        <w:sz w:val="24"/>
        <w:szCs w:val="24"/>
      </w:rPr>
      <w:t xml:space="preserve"> </w:t>
    </w:r>
    <w:r w:rsidRPr="000A276C">
      <w:rPr>
        <w:b/>
        <w:noProof/>
        <w:color w:val="365F91"/>
        <w:sz w:val="24"/>
        <w:szCs w:val="24"/>
      </w:rPr>
      <w:t xml:space="preserve">  </w:t>
    </w:r>
    <w:r>
      <w:rPr>
        <w:b/>
        <w:noProof/>
        <w:color w:val="365F91"/>
        <w:sz w:val="24"/>
        <w:szCs w:val="24"/>
      </w:rPr>
      <w:tab/>
    </w:r>
    <w:r w:rsidRPr="000A276C">
      <w:rPr>
        <w:b/>
        <w:color w:val="365F91"/>
      </w:rPr>
      <w:t>NEFEC Education</w:t>
    </w:r>
    <w:r>
      <w:rPr>
        <w:b/>
        <w:color w:val="365F91"/>
      </w:rPr>
      <w:t>al</w:t>
    </w:r>
    <w:r w:rsidRPr="000A276C">
      <w:rPr>
        <w:b/>
        <w:color w:val="365F91"/>
      </w:rPr>
      <w:t xml:space="preserve"> Technology Services</w:t>
    </w:r>
  </w:p>
  <w:p w:rsidR="00BB42CF" w:rsidRDefault="00BB42CF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2CAC"/>
    <w:multiLevelType w:val="hybridMultilevel"/>
    <w:tmpl w:val="1090E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7B3"/>
    <w:multiLevelType w:val="hybridMultilevel"/>
    <w:tmpl w:val="5DC6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6E72"/>
    <w:multiLevelType w:val="hybridMultilevel"/>
    <w:tmpl w:val="0D4E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15C82"/>
    <w:multiLevelType w:val="hybridMultilevel"/>
    <w:tmpl w:val="9C3A073C"/>
    <w:lvl w:ilvl="0" w:tplc="B9B61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23C7"/>
    <w:multiLevelType w:val="hybridMultilevel"/>
    <w:tmpl w:val="167A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64AA"/>
    <w:multiLevelType w:val="hybridMultilevel"/>
    <w:tmpl w:val="0F162B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131078" w:nlCheck="1" w:checkStyle="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A"/>
    <w:rsid w:val="00004995"/>
    <w:rsid w:val="00012726"/>
    <w:rsid w:val="000161FE"/>
    <w:rsid w:val="000252F4"/>
    <w:rsid w:val="00055086"/>
    <w:rsid w:val="00056320"/>
    <w:rsid w:val="00061DE4"/>
    <w:rsid w:val="00070069"/>
    <w:rsid w:val="000742CA"/>
    <w:rsid w:val="000901B5"/>
    <w:rsid w:val="000A03DA"/>
    <w:rsid w:val="000A276C"/>
    <w:rsid w:val="000A7BDB"/>
    <w:rsid w:val="000D04FE"/>
    <w:rsid w:val="000E2C65"/>
    <w:rsid w:val="000E6752"/>
    <w:rsid w:val="000F0C76"/>
    <w:rsid w:val="000F6B14"/>
    <w:rsid w:val="001319C4"/>
    <w:rsid w:val="00140EF0"/>
    <w:rsid w:val="001422DD"/>
    <w:rsid w:val="00144972"/>
    <w:rsid w:val="001500BD"/>
    <w:rsid w:val="001542A2"/>
    <w:rsid w:val="00155834"/>
    <w:rsid w:val="001811B1"/>
    <w:rsid w:val="001952D7"/>
    <w:rsid w:val="001A3C03"/>
    <w:rsid w:val="001B0BCE"/>
    <w:rsid w:val="001B3961"/>
    <w:rsid w:val="001B4C9F"/>
    <w:rsid w:val="001B5801"/>
    <w:rsid w:val="001D413D"/>
    <w:rsid w:val="001E2329"/>
    <w:rsid w:val="001F23EB"/>
    <w:rsid w:val="001F4329"/>
    <w:rsid w:val="00201368"/>
    <w:rsid w:val="002052E9"/>
    <w:rsid w:val="0022197A"/>
    <w:rsid w:val="0023784C"/>
    <w:rsid w:val="00246091"/>
    <w:rsid w:val="00254B7B"/>
    <w:rsid w:val="002566BF"/>
    <w:rsid w:val="00267D58"/>
    <w:rsid w:val="002750E0"/>
    <w:rsid w:val="002803A7"/>
    <w:rsid w:val="002A07EA"/>
    <w:rsid w:val="002B4C3A"/>
    <w:rsid w:val="002C5BE7"/>
    <w:rsid w:val="002C68F9"/>
    <w:rsid w:val="002D06D0"/>
    <w:rsid w:val="002F3514"/>
    <w:rsid w:val="002F6F29"/>
    <w:rsid w:val="00300763"/>
    <w:rsid w:val="0030118D"/>
    <w:rsid w:val="00330A45"/>
    <w:rsid w:val="00352082"/>
    <w:rsid w:val="0035361D"/>
    <w:rsid w:val="00362EAC"/>
    <w:rsid w:val="00374B7F"/>
    <w:rsid w:val="00381606"/>
    <w:rsid w:val="003A0721"/>
    <w:rsid w:val="003A36E4"/>
    <w:rsid w:val="003A4F08"/>
    <w:rsid w:val="003B1354"/>
    <w:rsid w:val="003B1E6E"/>
    <w:rsid w:val="003C2E8D"/>
    <w:rsid w:val="003C5852"/>
    <w:rsid w:val="003F1D9B"/>
    <w:rsid w:val="003F1DB7"/>
    <w:rsid w:val="004002E8"/>
    <w:rsid w:val="004128C9"/>
    <w:rsid w:val="004204F2"/>
    <w:rsid w:val="00445BB1"/>
    <w:rsid w:val="00446D52"/>
    <w:rsid w:val="00463262"/>
    <w:rsid w:val="004716DF"/>
    <w:rsid w:val="0049241F"/>
    <w:rsid w:val="004978B5"/>
    <w:rsid w:val="004A5A34"/>
    <w:rsid w:val="004C6862"/>
    <w:rsid w:val="004C729B"/>
    <w:rsid w:val="004C7E28"/>
    <w:rsid w:val="004D3722"/>
    <w:rsid w:val="004F694C"/>
    <w:rsid w:val="00506CAE"/>
    <w:rsid w:val="00516943"/>
    <w:rsid w:val="00540706"/>
    <w:rsid w:val="005609BB"/>
    <w:rsid w:val="00572104"/>
    <w:rsid w:val="005A1D88"/>
    <w:rsid w:val="005B79A1"/>
    <w:rsid w:val="005C3888"/>
    <w:rsid w:val="005C3A51"/>
    <w:rsid w:val="005D7D79"/>
    <w:rsid w:val="005E1DA5"/>
    <w:rsid w:val="005F262A"/>
    <w:rsid w:val="00603E97"/>
    <w:rsid w:val="0062594B"/>
    <w:rsid w:val="006263E1"/>
    <w:rsid w:val="00647491"/>
    <w:rsid w:val="00651269"/>
    <w:rsid w:val="00655461"/>
    <w:rsid w:val="006575C2"/>
    <w:rsid w:val="00664AF4"/>
    <w:rsid w:val="006747B2"/>
    <w:rsid w:val="006823E7"/>
    <w:rsid w:val="00690691"/>
    <w:rsid w:val="00697818"/>
    <w:rsid w:val="00697BC1"/>
    <w:rsid w:val="006A6E02"/>
    <w:rsid w:val="006D11D2"/>
    <w:rsid w:val="006F1EAB"/>
    <w:rsid w:val="006F713E"/>
    <w:rsid w:val="0070433B"/>
    <w:rsid w:val="0070535C"/>
    <w:rsid w:val="0071217B"/>
    <w:rsid w:val="00743417"/>
    <w:rsid w:val="0074731E"/>
    <w:rsid w:val="00761A37"/>
    <w:rsid w:val="00767CEB"/>
    <w:rsid w:val="00770C6D"/>
    <w:rsid w:val="00774AE6"/>
    <w:rsid w:val="00776249"/>
    <w:rsid w:val="007765A4"/>
    <w:rsid w:val="007B09EE"/>
    <w:rsid w:val="007B2BF6"/>
    <w:rsid w:val="007B38D1"/>
    <w:rsid w:val="007B5125"/>
    <w:rsid w:val="007B7716"/>
    <w:rsid w:val="007C176E"/>
    <w:rsid w:val="007C1DDE"/>
    <w:rsid w:val="007D2CA7"/>
    <w:rsid w:val="007E20C8"/>
    <w:rsid w:val="007E5600"/>
    <w:rsid w:val="007F3127"/>
    <w:rsid w:val="007F385B"/>
    <w:rsid w:val="008001CA"/>
    <w:rsid w:val="0080191D"/>
    <w:rsid w:val="0080546B"/>
    <w:rsid w:val="00812F05"/>
    <w:rsid w:val="00827039"/>
    <w:rsid w:val="008274B3"/>
    <w:rsid w:val="00830707"/>
    <w:rsid w:val="00857FE1"/>
    <w:rsid w:val="00863356"/>
    <w:rsid w:val="008921FC"/>
    <w:rsid w:val="008A2A8D"/>
    <w:rsid w:val="008B4E5E"/>
    <w:rsid w:val="008E1CF5"/>
    <w:rsid w:val="008F6B77"/>
    <w:rsid w:val="00906CFF"/>
    <w:rsid w:val="00912DBF"/>
    <w:rsid w:val="00921F07"/>
    <w:rsid w:val="00936426"/>
    <w:rsid w:val="0093698E"/>
    <w:rsid w:val="00937B2E"/>
    <w:rsid w:val="00942070"/>
    <w:rsid w:val="00965E70"/>
    <w:rsid w:val="00984C66"/>
    <w:rsid w:val="00993EA8"/>
    <w:rsid w:val="00994577"/>
    <w:rsid w:val="009C1047"/>
    <w:rsid w:val="009E271C"/>
    <w:rsid w:val="00A16050"/>
    <w:rsid w:val="00A24C8E"/>
    <w:rsid w:val="00A25FF1"/>
    <w:rsid w:val="00A35FF5"/>
    <w:rsid w:val="00A36816"/>
    <w:rsid w:val="00A50F53"/>
    <w:rsid w:val="00A87766"/>
    <w:rsid w:val="00B0299F"/>
    <w:rsid w:val="00B03FF0"/>
    <w:rsid w:val="00B0635E"/>
    <w:rsid w:val="00B105A9"/>
    <w:rsid w:val="00B109CE"/>
    <w:rsid w:val="00B16120"/>
    <w:rsid w:val="00B2367F"/>
    <w:rsid w:val="00B252A8"/>
    <w:rsid w:val="00B5457C"/>
    <w:rsid w:val="00B779B5"/>
    <w:rsid w:val="00BA0E3F"/>
    <w:rsid w:val="00BA7867"/>
    <w:rsid w:val="00BB2C43"/>
    <w:rsid w:val="00BB42CF"/>
    <w:rsid w:val="00BC42FD"/>
    <w:rsid w:val="00BE50FD"/>
    <w:rsid w:val="00BF1535"/>
    <w:rsid w:val="00C036D5"/>
    <w:rsid w:val="00C05496"/>
    <w:rsid w:val="00C16BC6"/>
    <w:rsid w:val="00C238C1"/>
    <w:rsid w:val="00C31292"/>
    <w:rsid w:val="00C57239"/>
    <w:rsid w:val="00C616DC"/>
    <w:rsid w:val="00C6265A"/>
    <w:rsid w:val="00C715AA"/>
    <w:rsid w:val="00C7729F"/>
    <w:rsid w:val="00C91BC0"/>
    <w:rsid w:val="00C9612C"/>
    <w:rsid w:val="00CB5C70"/>
    <w:rsid w:val="00CE18FD"/>
    <w:rsid w:val="00CF7B51"/>
    <w:rsid w:val="00D037DF"/>
    <w:rsid w:val="00D17DE5"/>
    <w:rsid w:val="00D20F15"/>
    <w:rsid w:val="00D300DD"/>
    <w:rsid w:val="00D43083"/>
    <w:rsid w:val="00D5216F"/>
    <w:rsid w:val="00D57765"/>
    <w:rsid w:val="00D57FA6"/>
    <w:rsid w:val="00D824AB"/>
    <w:rsid w:val="00D82771"/>
    <w:rsid w:val="00DA0276"/>
    <w:rsid w:val="00DB1120"/>
    <w:rsid w:val="00DB250F"/>
    <w:rsid w:val="00DB37C1"/>
    <w:rsid w:val="00DC0E43"/>
    <w:rsid w:val="00DC3B10"/>
    <w:rsid w:val="00DD69B2"/>
    <w:rsid w:val="00DE41CD"/>
    <w:rsid w:val="00DF246B"/>
    <w:rsid w:val="00E167F7"/>
    <w:rsid w:val="00E42307"/>
    <w:rsid w:val="00E46B6E"/>
    <w:rsid w:val="00E5671D"/>
    <w:rsid w:val="00E6249E"/>
    <w:rsid w:val="00E732E3"/>
    <w:rsid w:val="00E8145D"/>
    <w:rsid w:val="00E90E6D"/>
    <w:rsid w:val="00EB138A"/>
    <w:rsid w:val="00EC53B3"/>
    <w:rsid w:val="00ED5E58"/>
    <w:rsid w:val="00ED76D0"/>
    <w:rsid w:val="00F0757B"/>
    <w:rsid w:val="00F35CC3"/>
    <w:rsid w:val="00F44728"/>
    <w:rsid w:val="00F550D6"/>
    <w:rsid w:val="00F56031"/>
    <w:rsid w:val="00F90BE2"/>
    <w:rsid w:val="00FA13A5"/>
    <w:rsid w:val="00FA5775"/>
    <w:rsid w:val="00FC3670"/>
    <w:rsid w:val="00FC5962"/>
    <w:rsid w:val="00FD74F2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D44E0-881E-46B8-AE31-3EA7EE9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6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9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9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9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9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96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96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96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70"/>
  </w:style>
  <w:style w:type="paragraph" w:styleId="Footer">
    <w:name w:val="footer"/>
    <w:basedOn w:val="Normal"/>
    <w:link w:val="Foot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70"/>
  </w:style>
  <w:style w:type="paragraph" w:styleId="BalloonText">
    <w:name w:val="Balloon Text"/>
    <w:basedOn w:val="Normal"/>
    <w:link w:val="BalloonTextChar"/>
    <w:uiPriority w:val="99"/>
    <w:semiHidden/>
    <w:unhideWhenUsed/>
    <w:rsid w:val="00F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A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E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71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71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5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96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96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C5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C59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C59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C596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C596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59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96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596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9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96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5962"/>
    <w:rPr>
      <w:b/>
      <w:bCs/>
    </w:rPr>
  </w:style>
  <w:style w:type="character" w:styleId="Emphasis">
    <w:name w:val="Emphasis"/>
    <w:basedOn w:val="DefaultParagraphFont"/>
    <w:uiPriority w:val="20"/>
    <w:qFormat/>
    <w:rsid w:val="00FC5962"/>
    <w:rPr>
      <w:i/>
      <w:iCs/>
    </w:rPr>
  </w:style>
  <w:style w:type="paragraph" w:styleId="NoSpacing">
    <w:name w:val="No Spacing"/>
    <w:uiPriority w:val="1"/>
    <w:qFormat/>
    <w:rsid w:val="00FC596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C5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9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96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9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96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C596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C596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C596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596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5962"/>
    <w:rPr>
      <w:b/>
      <w:bCs/>
      <w:smallCaps/>
      <w:spacing w:val="5"/>
    </w:rPr>
  </w:style>
  <w:style w:type="paragraph" w:customStyle="1" w:styleId="Style1">
    <w:name w:val="Style1"/>
    <w:basedOn w:val="Heading1"/>
    <w:qFormat/>
    <w:rsid w:val="00FC5962"/>
    <w:rPr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C5962"/>
  </w:style>
  <w:style w:type="table" w:styleId="TableGrid">
    <w:name w:val="Table Grid"/>
    <w:basedOn w:val="TableNormal"/>
    <w:uiPriority w:val="59"/>
    <w:rsid w:val="008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C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18">
              <w:marLeft w:val="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55">
              <w:marLeft w:val="3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file:///\\nricdc.org\x-drive\NEFEC-Public\Educational%20Technology%20Services\Budgets\Regions" TargetMode="External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hyperlink" Target="file:///\\nricdc.org\x-drive\NEFEC-Public\Educational%20Technology%20Services\Budgets\Regions\P'card%20Reconcilation%20&amp;%20JE\" TargetMode="Externa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yperlink" Target="https://intersect.regions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lera\Downloads\Template%20-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3C2204-8963-48F2-8124-7ECEF43E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Procedures</Template>
  <TotalTime>355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Regions P-card Transaction Download &amp; Conversion</vt:lpstr>
    </vt:vector>
  </TitlesOfParts>
  <Company>nefec</Company>
  <LinksUpToDate>false</LinksUpToDate>
  <CharactersWithSpaces>4374</CharactersWithSpaces>
  <SharedDoc>false</SharedDoc>
  <HLinks>
    <vt:vector size="12" baseType="variant"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_Toc292864838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_Toc292864837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Regions P-card Transaction Download &amp; Conversion</dc:title>
  <dc:creator>Adam C. Sayler</dc:creator>
  <cp:lastModifiedBy>Adam C. Sayler</cp:lastModifiedBy>
  <cp:revision>9</cp:revision>
  <cp:lastPrinted>2016-03-04T21:13:00Z</cp:lastPrinted>
  <dcterms:created xsi:type="dcterms:W3CDTF">2016-03-04T15:24:00Z</dcterms:created>
  <dcterms:modified xsi:type="dcterms:W3CDTF">2016-03-14T13:32:00Z</dcterms:modified>
</cp:coreProperties>
</file>